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8150E" w14:textId="77777777" w:rsidR="00A00D27" w:rsidRPr="00C63D18" w:rsidRDefault="00A00D27" w:rsidP="004F5B37">
      <w:pPr>
        <w:pStyle w:val="NormalWeb"/>
        <w:rPr>
          <w:rFonts w:ascii="Garamond" w:eastAsiaTheme="minorEastAsia" w:hAnsi="Garamond"/>
          <w:b/>
          <w:sz w:val="28"/>
        </w:rPr>
      </w:pPr>
      <w:r w:rsidRPr="00C63D18">
        <w:rPr>
          <w:rFonts w:ascii="Garamond" w:eastAsiaTheme="minorEastAsia" w:hAnsi="Garamond"/>
          <w:b/>
          <w:sz w:val="28"/>
        </w:rPr>
        <w:t xml:space="preserve">Neuromodulatory circuits enhancing visual plasticity in the adult rodent cortex </w:t>
      </w:r>
    </w:p>
    <w:p w14:paraId="4F948200" w14:textId="6BEC92CC" w:rsidR="004F5B37" w:rsidRPr="00A00D27" w:rsidRDefault="004F5B37" w:rsidP="004F5B37">
      <w:pPr>
        <w:pStyle w:val="NormalWeb"/>
        <w:rPr>
          <w:rFonts w:ascii="Garamond" w:hAnsi="Garamond"/>
        </w:rPr>
      </w:pPr>
      <w:r w:rsidRPr="00A00D27">
        <w:rPr>
          <w:rFonts w:ascii="Garamond" w:hAnsi="Garamond"/>
          <w:b/>
          <w:bCs/>
          <w:color w:val="4C7FBC"/>
        </w:rPr>
        <w:t>Dr.</w:t>
      </w:r>
      <w:r w:rsidR="00AB1A86" w:rsidRPr="00A00D27">
        <w:rPr>
          <w:rFonts w:ascii="Garamond" w:hAnsi="Garamond"/>
          <w:b/>
          <w:bCs/>
          <w:color w:val="4C7FBC"/>
        </w:rPr>
        <w:t xml:space="preserve"> </w:t>
      </w:r>
      <w:r w:rsidRPr="00A00D27">
        <w:rPr>
          <w:rFonts w:ascii="Garamond" w:hAnsi="Garamond"/>
          <w:b/>
          <w:bCs/>
          <w:color w:val="4C7FBC"/>
        </w:rPr>
        <w:t>Jennifer Sun</w:t>
      </w:r>
    </w:p>
    <w:p w14:paraId="423B2B13" w14:textId="6DC89EB5" w:rsidR="00D46FBF" w:rsidRPr="00A00D27" w:rsidRDefault="004F5B37" w:rsidP="00AB1A86">
      <w:pPr>
        <w:pStyle w:val="NormalWeb"/>
        <w:rPr>
          <w:rFonts w:ascii="Garamond" w:hAnsi="Garamond"/>
        </w:rPr>
      </w:pPr>
      <w:r w:rsidRPr="00A00D27">
        <w:rPr>
          <w:rFonts w:ascii="Garamond" w:hAnsi="Garamond"/>
        </w:rPr>
        <w:t>Visual Plasticity Laboratory.</w:t>
      </w:r>
      <w:r w:rsidR="00AB1A86" w:rsidRPr="00A00D27">
        <w:rPr>
          <w:rFonts w:ascii="Garamond" w:hAnsi="Garamond"/>
        </w:rPr>
        <w:t xml:space="preserve"> </w:t>
      </w:r>
      <w:r w:rsidRPr="00A00D27">
        <w:rPr>
          <w:rFonts w:ascii="Garamond" w:hAnsi="Garamond"/>
        </w:rPr>
        <w:t xml:space="preserve">Dr. </w:t>
      </w:r>
      <w:r w:rsidR="00AB1A86" w:rsidRPr="00A00D27">
        <w:rPr>
          <w:rFonts w:ascii="Garamond" w:hAnsi="Garamond"/>
        </w:rPr>
        <w:t xml:space="preserve">Jennifer </w:t>
      </w:r>
      <w:r w:rsidRPr="00A00D27">
        <w:rPr>
          <w:rFonts w:ascii="Garamond" w:hAnsi="Garamond"/>
        </w:rPr>
        <w:t>Sun (</w:t>
      </w:r>
      <w:proofErr w:type="spellStart"/>
      <w:r w:rsidRPr="00A00D27">
        <w:rPr>
          <w:rFonts w:ascii="Garamond" w:hAnsi="Garamond"/>
        </w:rPr>
        <w:t>jennifer.sun</w:t>
      </w:r>
      <w:proofErr w:type="spellEnd"/>
      <w:r w:rsidRPr="00A00D27">
        <w:rPr>
          <w:rFonts w:ascii="Garamond" w:hAnsi="Garamond"/>
        </w:rPr>
        <w:t xml:space="preserve"> @ucl.ac.uk), UCL Institute of Ophthalmology, </w:t>
      </w:r>
      <w:r w:rsidR="00D46FBF" w:rsidRPr="00A00D27">
        <w:rPr>
          <w:rFonts w:ascii="Garamond" w:hAnsi="Garamond"/>
          <w:color w:val="000000"/>
        </w:rPr>
        <w:t>11-43 Bath St, London EC1V 9EL, UK</w:t>
      </w:r>
    </w:p>
    <w:p w14:paraId="28D753EE" w14:textId="5DA676C6" w:rsidR="00D46FBF" w:rsidRPr="00A00D27" w:rsidRDefault="004F5B37" w:rsidP="00D46FBF">
      <w:pPr>
        <w:autoSpaceDE w:val="0"/>
        <w:autoSpaceDN w:val="0"/>
        <w:adjustRightInd w:val="0"/>
        <w:rPr>
          <w:rFonts w:ascii="Garamond" w:hAnsi="Garamond" w:cs="Times New Roman"/>
          <w:color w:val="000000"/>
        </w:rPr>
      </w:pPr>
      <w:r w:rsidRPr="00A00D27">
        <w:rPr>
          <w:rFonts w:ascii="Garamond" w:hAnsi="Garamond" w:cs="Times New Roman"/>
          <w:b/>
          <w:bCs/>
        </w:rPr>
        <w:t>Research overview</w:t>
      </w:r>
      <w:r w:rsidRPr="00A00D27">
        <w:rPr>
          <w:rFonts w:ascii="Garamond" w:hAnsi="Garamond" w:cs="Times New Roman"/>
        </w:rPr>
        <w:t xml:space="preserve">: </w:t>
      </w:r>
      <w:r w:rsidR="00D46FBF" w:rsidRPr="00A00D27">
        <w:rPr>
          <w:rFonts w:ascii="Garamond" w:hAnsi="Garamond" w:cs="Times New Roman"/>
          <w:color w:val="000000"/>
        </w:rPr>
        <w:t xml:space="preserve">Our lab is interested in understanding how neuromodulation regulates information processing and neuroplasticity in the visual systems. </w:t>
      </w:r>
      <w:r w:rsidR="00A00D27" w:rsidRPr="00A00D27">
        <w:rPr>
          <w:rFonts w:ascii="Garamond" w:hAnsi="Garamond" w:cs="Times New Roman"/>
          <w:color w:val="000000"/>
        </w:rPr>
        <w:t>To this end, w</w:t>
      </w:r>
      <w:r w:rsidR="00D46FBF" w:rsidRPr="00A00D27">
        <w:rPr>
          <w:rFonts w:ascii="Garamond" w:hAnsi="Garamond" w:cs="Times New Roman"/>
          <w:color w:val="000000"/>
        </w:rPr>
        <w:t xml:space="preserve">e apply </w:t>
      </w:r>
      <w:r w:rsidR="00A00D27" w:rsidRPr="00A00D27">
        <w:rPr>
          <w:rFonts w:ascii="Garamond" w:hAnsi="Garamond" w:cs="Times New Roman"/>
          <w:color w:val="000000"/>
        </w:rPr>
        <w:t xml:space="preserve">a combination of systems approaches including electrophysiology, optogenetics, </w:t>
      </w:r>
      <w:r w:rsidR="00C63D18">
        <w:rPr>
          <w:rFonts w:ascii="Garamond" w:hAnsi="Garamond" w:cs="Times New Roman"/>
          <w:color w:val="000000"/>
        </w:rPr>
        <w:t>and 2</w:t>
      </w:r>
      <w:r w:rsidR="00A00D27" w:rsidRPr="00A00D27">
        <w:rPr>
          <w:rFonts w:ascii="Garamond" w:hAnsi="Garamond" w:cs="Times New Roman"/>
          <w:color w:val="000000"/>
        </w:rPr>
        <w:t xml:space="preserve">-photon imaging </w:t>
      </w:r>
      <w:r w:rsidR="00D46FBF" w:rsidRPr="00A00D27">
        <w:rPr>
          <w:rFonts w:ascii="Garamond" w:hAnsi="Garamond" w:cs="Times New Roman"/>
          <w:color w:val="000000"/>
        </w:rPr>
        <w:t xml:space="preserve">to </w:t>
      </w:r>
      <w:r w:rsidR="00FB65B1" w:rsidRPr="00A00D27">
        <w:rPr>
          <w:rFonts w:ascii="Garamond" w:hAnsi="Garamond" w:cs="Times New Roman"/>
          <w:color w:val="000000"/>
        </w:rPr>
        <w:t>reveal</w:t>
      </w:r>
      <w:r w:rsidR="00D46FBF" w:rsidRPr="00A00D27">
        <w:rPr>
          <w:rFonts w:ascii="Garamond" w:hAnsi="Garamond" w:cs="Times New Roman"/>
          <w:color w:val="000000"/>
        </w:rPr>
        <w:t xml:space="preserve"> the biological basis of visual cortical plasticity.</w:t>
      </w:r>
    </w:p>
    <w:p w14:paraId="41A3F910" w14:textId="3AFC6709" w:rsidR="00D46FBF" w:rsidRPr="00A00D27" w:rsidRDefault="004F5B37" w:rsidP="00FB65B1">
      <w:pPr>
        <w:pStyle w:val="NormalWeb"/>
        <w:rPr>
          <w:rFonts w:ascii="Garamond" w:hAnsi="Garamond"/>
          <w:color w:val="000000"/>
        </w:rPr>
      </w:pPr>
      <w:r w:rsidRPr="00A00D27">
        <w:rPr>
          <w:rFonts w:ascii="Garamond" w:hAnsi="Garamond"/>
          <w:b/>
          <w:bCs/>
        </w:rPr>
        <w:t>Research project</w:t>
      </w:r>
      <w:r w:rsidRPr="00A00D27">
        <w:rPr>
          <w:rFonts w:ascii="Garamond" w:hAnsi="Garamond"/>
        </w:rPr>
        <w:t xml:space="preserve">: </w:t>
      </w:r>
      <w:r w:rsidR="00FB65B1" w:rsidRPr="00A00D27">
        <w:rPr>
          <w:rFonts w:ascii="Garamond" w:hAnsi="Garamond"/>
        </w:rPr>
        <w:t xml:space="preserve"> </w:t>
      </w:r>
      <w:r w:rsidR="00A00D27" w:rsidRPr="00A00D27">
        <w:rPr>
          <w:rFonts w:ascii="Garamond" w:hAnsi="Garamond"/>
        </w:rPr>
        <w:t xml:space="preserve">The limited plasticity in adult brain is responsible for reduced visual learning ability and incomplete vision recovery. Recent works have uncovered that running effectively enhances visual representation and promotes visual plasticity in the adult </w:t>
      </w:r>
      <w:r w:rsidR="00A00D27" w:rsidRPr="00A00D27">
        <w:rPr>
          <w:rFonts w:ascii="Garamond" w:hAnsi="Garamond" w:cs="Arial"/>
        </w:rPr>
        <w:t>animals</w:t>
      </w:r>
      <w:r w:rsidR="00A00D27" w:rsidRPr="00A00D27">
        <w:rPr>
          <w:rFonts w:ascii="Garamond" w:hAnsi="Garamond" w:cs="Arial"/>
          <w:bCs/>
        </w:rPr>
        <w:fldChar w:fldCharType="begin" w:fldLock="1"/>
      </w:r>
      <w:r w:rsidR="00C63D18">
        <w:rPr>
          <w:rFonts w:ascii="Garamond" w:hAnsi="Garamond" w:cs="Arial"/>
          <w:bCs/>
        </w:rPr>
        <w:instrText>ADDIN CSL_CITATION {"citationItems":[{"id":"ITEM-1","itemData":{"DOI":"10.7554/eLife.02798","ISSN":"2050-084X","PMID":"24970838","author":[{"dropping-particle":"","family":"Kaneko","given":"Megumi","non-dropping-particle":"","parse-names":false,"suffix":""},{"dropping-particle":"","family":"Stryker","given":"Michael P","non-dropping-particle":"","parse-names":false,"suffix":""}],"container-title":"eLife","id":"ITEM-1","issued":{"date-parts":[["2014"]]},"page":"1-16","title":"Sensory experience during locomotion promotes recovery of function in adult visual cortex","type":"article-journal","volume":"3"},"uris":["http://www.mendeley.com/documents/?uuid=662010da-c415-4a8b-84c1-5ebea9fc4050"]},{"id":"ITEM-2","itemData":{"DOI":"10.1523/JNEUROSCI.3760-16.2017","ISSN":"1529-2401","PMID":"28258167","abstract":"The responses of neurons in the visual cortex (V1) of adult mammals have long been thought to be stable over long periods. Here, we investigated whether repeated exposure to specific stimuli would enhance V1 visual responses in mice using intrinsic signal imaging through the intact skull and two-photon imaging of calcium signals in single neurons. Mice ran on Styrofoam balls floating on air while viewing one of three different, high-contrast visual stimuli. V1 responses to the stimuli that were viewed by the animal were specifically enhanced, while responses to other stimuli were unaffected. Similar exposure in stationary mice, or in mice in which NMDA receptors were partially blocked, did not significantly enhance responses. These findings indicate that stimulus-specific plasticity in the adult visual cortex depends on concurrent locomotion, presumably as a result of the high-gain state of visual cortex induced by locomotion.SIGNIFICANCE STATEMENTWe report a rapid and persistent increase in visual cortical responses to visual stimuli presented during locomotion in intact mice. We first used a method that is completely non-invasive, intrinsic signal imaging through the intact skull. We then measured the same effects on single neurons using 2-photon calcium imaging and found that the increase in response to a particular stimulus produced by locomotion depends on how well the neuron is initially driven by the stimulus. To our knowledge, this is the first time such enhancement has been described in single neurons or using non-invasive measurements.","author":[{"dropping-particle":"","family":"Kaneko","given":"Megumi","non-dropping-particle":"","parse-names":false,"suffix":""},{"dropping-particle":"","family":"Fu","given":"Yu","non-dropping-particle":"","parse-names":false,"suffix":""},{"dropping-particle":"","family":"Stryker","given":"Michael P","non-dropping-particle":"","parse-names":false,"suffix":""}],"container-title":"The Journal of neuroscience : the official journal of the Society for Neuroscience","id":"ITEM-2","issue":"13","issued":{"date-parts":[["2017"]]},"page":"3760-16","title":"Locomotion induces stimulus-specific response enhancement in adult visual cortex.","type":"article-journal","volume":"37"},"uris":["http://www.mendeley.com/documents/?uuid=1a649cac-6615-4c38-8b48-1ec7b95c197a"]}],"mendeley":{"formattedCitation":"&lt;sup&gt;1,2&lt;/sup&gt;","plainTextFormattedCitation":"1,2","previouslyFormattedCitation":"(Kaneko and Stryker, 2014; Kaneko et al., 2017)"},"properties":{"noteIndex":0},"schema":"https://github.com/citation-style-language/schema/raw/master/csl-citation.json"}</w:instrText>
      </w:r>
      <w:r w:rsidR="00A00D27" w:rsidRPr="00A00D27">
        <w:rPr>
          <w:rFonts w:ascii="Garamond" w:hAnsi="Garamond" w:cs="Arial"/>
          <w:bCs/>
        </w:rPr>
        <w:fldChar w:fldCharType="separate"/>
      </w:r>
      <w:r w:rsidR="00C63D18" w:rsidRPr="00C63D18">
        <w:rPr>
          <w:rFonts w:ascii="Garamond" w:hAnsi="Garamond" w:cs="Arial"/>
          <w:bCs/>
          <w:noProof/>
          <w:vertAlign w:val="superscript"/>
        </w:rPr>
        <w:t>1,2</w:t>
      </w:r>
      <w:r w:rsidR="00A00D27" w:rsidRPr="00A00D27">
        <w:rPr>
          <w:rFonts w:ascii="Garamond" w:hAnsi="Garamond" w:cs="Arial"/>
          <w:bCs/>
        </w:rPr>
        <w:fldChar w:fldCharType="end"/>
      </w:r>
      <w:r w:rsidR="00A00D27" w:rsidRPr="00A00D27">
        <w:rPr>
          <w:rFonts w:ascii="Garamond" w:hAnsi="Garamond" w:cs="Arial"/>
        </w:rPr>
        <w:t xml:space="preserve"> and human beings</w:t>
      </w:r>
      <w:r w:rsidR="00A00D27" w:rsidRPr="00A00D27">
        <w:rPr>
          <w:rFonts w:ascii="Garamond" w:hAnsi="Garamond" w:cs="Arial"/>
          <w:bCs/>
        </w:rPr>
        <w:fldChar w:fldCharType="begin" w:fldLock="1"/>
      </w:r>
      <w:r w:rsidR="00C63D18">
        <w:rPr>
          <w:rFonts w:ascii="Garamond" w:hAnsi="Garamond" w:cs="Arial"/>
          <w:bCs/>
        </w:rPr>
        <w:instrText>ADDIN CSL_CITATION {"citationItems":[{"id":"ITEM-1","itemData":{"DOI":"10.1016/j.cub.2015.10.026","ISBN":"0960-9822","ISSN":"09609822","PMID":"26654367","abstract":"Brain plasticity, defined as the capability of cerebral neurons to change in response to experience, is fundamental for behavioral adaptability, learning, memory, functional development, and neural repair. The visual cortex is a widely used model for studying neuroplasticity and the underlying mechanisms. Plasticity is maximal in early development, within the so-called critical period, while its levels abruptly decline in adulthood [1]. Recent studies, however, have revealed a significant residual plastic potential of the adult visual cortex by showing that, in adult humans, short-term monocular deprivation alters ocular dominance by homeostatically boosting responses to the deprived eye [2-4]. In animal models, a reopening of critical period plasticity in the adult primary visual cortex has been obtained by a variety of environmental manipulations, such as dark exposure, or environmental enrichment, together with its critical component of enhanced physical exercise [5-8]. Among these non-invasive procedures, physical exercise emerges as particularly interesting for its potential of application to clinics, though there has been a lack of experimental evidence available that physical exercise actually promotes visual plasticity in humans. Here we report that short-term homeostatic plasticity of the adult human visual cortex induced by transient monocular deprivation is potently boosted by moderate levels of voluntary physical activity. These findings could have a bearing in orienting future research in the field of physical activity application to clinical research.","author":[{"dropping-particle":"","family":"Lunghi","given":"Claudia","non-dropping-particle":"","parse-names":false,"suffix":""},{"dropping-particle":"","family":"Sale","given":"Alessandro","non-dropping-particle":"","parse-names":false,"suffix":""}],"container-title":"Current Biology","id":"ITEM-1","issue":"23","issued":{"date-parts":[["2015","12","7"]]},"page":"R1122-R1123","publisher":"Elsevier","title":"A cycling lane for brain rewiring","type":"article-journal","volume":"25"},"uris":["http://www.mendeley.com/documents/?uuid=60394a18-5f3b-41a2-827b-b37cc0f35e1a"]},{"id":"ITEM-2","itemData":{"DOI":"10.1038/srep25440","ISSN":"2045-2322","PMID":"27146330","abstract":"The benefits that physical exercise confers on cardiovascular health are well known, whereas the notion that physical exercise can also improve cognitive performance has only recently begun to be explored and has thus far yielded only controversial results. In the present study, we used a sample of young male subjects to test the effects that a single bout of aerobic exercise has on learning. Two tasks were run: the first was an orientation discrimination task involving the primary visual cortex, and the second was a simple thumb abduction motor task that relies on the primary motor cortex. Forty-four and forty volunteers participated in the first and second experiments, respectively. We found that a single bout of aerobic exercise can significantly facilitate learning mechanisms within visual and motor domains and that these positive effects can persist for at least 30 minutes following exercise. This finding suggests that physical activity, at least of moderate intensity, might promote brain plasticity. By combining physical activity-induced plasticity with specific cognitive training-induced plasticity, we favour a gradual up-regulation of a functional network due to a steady increase in synaptic strength, promoting associative Hebbian-like plasticity.","author":[{"dropping-particle":"","family":"Perini","given":"Renza","non-dropping-particle":"","parse-names":false,"suffix":""},{"dropping-particle":"","family":"Bortoletto","given":"Marta","non-dropping-particle":"","parse-names":false,"suffix":""},{"dropping-particle":"","family":"Capogrosso","given":"Michela","non-dropping-particle":"","parse-names":false,"suffix":""},{"dropping-particle":"","family":"Fertonani","given":"Anna","non-dropping-particle":"","parse-names":false,"suffix":""},{"dropping-particle":"","family":"Miniussi","given":"Carlo","non-dropping-particle":"","parse-names":false,"suffix":""}],"container-title":"Scientific Reports","id":"ITEM-2","issue":"1","issued":{"date-parts":[["2016"]]},"page":"25440","title":"Acute effects of aerobic exercise promote learning","type":"article-journal","volume":"6"},"uris":["http://www.mendeley.com/documents/?uuid=239e31da-c104-4f24-9b82-2cf33ea9ea7e"]}],"mendeley":{"formattedCitation":"&lt;sup&gt;3,4&lt;/sup&gt;","plainTextFormattedCitation":"3,4","previouslyFormattedCitation":"(Lunghi and Sale, 2015; Perini et al., 2016)"},"properties":{"noteIndex":0},"schema":"https://github.com/citation-style-language/schema/raw/master/csl-citation.json"}</w:instrText>
      </w:r>
      <w:r w:rsidR="00A00D27" w:rsidRPr="00A00D27">
        <w:rPr>
          <w:rFonts w:ascii="Garamond" w:hAnsi="Garamond" w:cs="Arial"/>
          <w:bCs/>
        </w:rPr>
        <w:fldChar w:fldCharType="separate"/>
      </w:r>
      <w:r w:rsidR="00C63D18" w:rsidRPr="00C63D18">
        <w:rPr>
          <w:rFonts w:ascii="Garamond" w:hAnsi="Garamond" w:cs="Arial"/>
          <w:bCs/>
          <w:noProof/>
          <w:vertAlign w:val="superscript"/>
        </w:rPr>
        <w:t>3,4</w:t>
      </w:r>
      <w:r w:rsidR="00A00D27" w:rsidRPr="00A00D27">
        <w:rPr>
          <w:rFonts w:ascii="Garamond" w:hAnsi="Garamond" w:cs="Arial"/>
          <w:bCs/>
        </w:rPr>
        <w:fldChar w:fldCharType="end"/>
      </w:r>
      <w:r w:rsidR="00A00D27" w:rsidRPr="00A00D27">
        <w:rPr>
          <w:rFonts w:ascii="Garamond" w:hAnsi="Garamond"/>
        </w:rPr>
        <w:t xml:space="preserve">, offering a potential to serve as a non-invasive procedure to clinically promote cortical plasticity. However, the circuit mechanisms by which running, a non-sensory information, regulates cortical plasticity remains unclear, making it difficult for developing therapeutic treatment. </w:t>
      </w:r>
    </w:p>
    <w:p w14:paraId="24960A79" w14:textId="77777777" w:rsidR="00C63D18" w:rsidRDefault="00D46FBF" w:rsidP="00D46F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rPr>
      </w:pPr>
      <w:r w:rsidRPr="00A00D27">
        <w:rPr>
          <w:rFonts w:ascii="Garamond" w:hAnsi="Garamond" w:cs="Times New Roman"/>
        </w:rPr>
        <w:t>The object</w:t>
      </w:r>
      <w:r w:rsidRPr="00A00D27">
        <w:rPr>
          <w:rFonts w:ascii="Garamond" w:hAnsi="Garamond" w:cs="Times New Roman"/>
          <w:color w:val="000000"/>
        </w:rPr>
        <w:t xml:space="preserve"> of this </w:t>
      </w:r>
      <w:r w:rsidR="00FB65B1" w:rsidRPr="00A00D27">
        <w:rPr>
          <w:rFonts w:ascii="Garamond" w:hAnsi="Garamond" w:cs="Times New Roman"/>
          <w:color w:val="000000"/>
        </w:rPr>
        <w:t>project</w:t>
      </w:r>
      <w:r w:rsidRPr="00A00D27">
        <w:rPr>
          <w:rFonts w:ascii="Garamond" w:hAnsi="Garamond" w:cs="Times New Roman"/>
          <w:color w:val="000000"/>
        </w:rPr>
        <w:t xml:space="preserve"> is </w:t>
      </w:r>
      <w:r w:rsidRPr="00A00D27">
        <w:rPr>
          <w:rFonts w:ascii="Garamond" w:hAnsi="Garamond" w:cs="Times New Roman"/>
        </w:rPr>
        <w:t xml:space="preserve">to </w:t>
      </w:r>
      <w:r w:rsidR="00F5069E">
        <w:rPr>
          <w:rFonts w:ascii="Garamond" w:hAnsi="Garamond" w:cs="Times New Roman"/>
        </w:rPr>
        <w:t>determine the</w:t>
      </w:r>
      <w:r w:rsidR="00F5069E" w:rsidRPr="00F5069E">
        <w:rPr>
          <w:rFonts w:ascii="Garamond" w:hAnsi="Garamond" w:cs="Times New Roman"/>
        </w:rPr>
        <w:t xml:space="preserve"> role of subcortical neuromodulation in cortical processing and plasticity</w:t>
      </w:r>
      <w:r w:rsidR="00F5069E">
        <w:rPr>
          <w:rFonts w:ascii="Garamond" w:hAnsi="Garamond" w:cs="Times New Roman"/>
        </w:rPr>
        <w:t xml:space="preserve"> and </w:t>
      </w:r>
      <w:r w:rsidR="00F71272">
        <w:rPr>
          <w:rFonts w:ascii="Garamond" w:hAnsi="Garamond"/>
        </w:rPr>
        <w:t>reveal</w:t>
      </w:r>
      <w:r w:rsidR="00F5069E" w:rsidRPr="00A00D27">
        <w:rPr>
          <w:rFonts w:ascii="Garamond" w:hAnsi="Garamond"/>
        </w:rPr>
        <w:t xml:space="preserve"> the </w:t>
      </w:r>
      <w:r w:rsidR="00F71272">
        <w:rPr>
          <w:rFonts w:ascii="Garamond" w:hAnsi="Garamond"/>
        </w:rPr>
        <w:t xml:space="preserve">underlying </w:t>
      </w:r>
      <w:r w:rsidR="00F5069E" w:rsidRPr="00A00D27">
        <w:rPr>
          <w:rFonts w:ascii="Garamond" w:hAnsi="Garamond"/>
        </w:rPr>
        <w:t>circuit basis</w:t>
      </w:r>
      <w:r w:rsidR="00F71272">
        <w:rPr>
          <w:rFonts w:ascii="Garamond" w:hAnsi="Garamond"/>
        </w:rPr>
        <w:t xml:space="preserve"> using mouse model</w:t>
      </w:r>
      <w:r w:rsidR="00F71272" w:rsidRPr="00F5069E">
        <w:rPr>
          <w:rFonts w:ascii="Garamond" w:hAnsi="Garamond" w:cs="Times New Roman"/>
          <w:color w:val="000000"/>
        </w:rPr>
        <w:t xml:space="preserve">. </w:t>
      </w:r>
      <w:r w:rsidR="00996AA0" w:rsidRPr="00A00D27">
        <w:rPr>
          <w:rFonts w:ascii="Garamond" w:hAnsi="Garamond" w:cs="Times New Roman"/>
        </w:rPr>
        <w:t>We</w:t>
      </w:r>
      <w:r w:rsidR="004D564F" w:rsidRPr="00A00D27">
        <w:rPr>
          <w:rFonts w:ascii="Garamond" w:hAnsi="Garamond" w:cs="Times New Roman"/>
        </w:rPr>
        <w:t xml:space="preserve"> hypothesize that </w:t>
      </w:r>
      <w:r w:rsidR="00996AA0" w:rsidRPr="00A00D27">
        <w:rPr>
          <w:rFonts w:ascii="Garamond" w:hAnsi="Garamond" w:cs="Times New Roman"/>
        </w:rPr>
        <w:t xml:space="preserve">in the adult brain, </w:t>
      </w:r>
      <w:r w:rsidR="00F5069E">
        <w:rPr>
          <w:rFonts w:ascii="Garamond" w:hAnsi="Garamond" w:cs="Times New Roman"/>
        </w:rPr>
        <w:t xml:space="preserve">the subcortical neuromodulatory projections sends running signals to modulate the visual representation in the primary visual cortex (V1). The study will </w:t>
      </w:r>
      <w:r w:rsidR="00F5069E" w:rsidRPr="00F5069E">
        <w:rPr>
          <w:rFonts w:ascii="Garamond" w:hAnsi="Garamond" w:cs="Times New Roman"/>
        </w:rPr>
        <w:t xml:space="preserve">1) </w:t>
      </w:r>
      <w:r w:rsidR="00F5069E">
        <w:rPr>
          <w:rFonts w:ascii="Garamond" w:hAnsi="Garamond" w:cs="Times New Roman"/>
        </w:rPr>
        <w:t xml:space="preserve">use viral tracing and calcium imaging to </w:t>
      </w:r>
      <w:r w:rsidR="00F5069E" w:rsidRPr="00F5069E">
        <w:rPr>
          <w:rFonts w:ascii="Garamond" w:hAnsi="Garamond" w:cs="Times New Roman"/>
        </w:rPr>
        <w:t xml:space="preserve">map the projecting neurons in candidate subcortical nuclei and verify if the activity of their axonal inputs to V1 carries running signal, and 2) </w:t>
      </w:r>
      <w:r w:rsidR="00F5069E">
        <w:rPr>
          <w:rFonts w:ascii="Garamond" w:hAnsi="Garamond" w:cs="Times New Roman"/>
        </w:rPr>
        <w:t xml:space="preserve">use optogenetics and electrophysiology to </w:t>
      </w:r>
      <w:r w:rsidR="00F5069E" w:rsidRPr="00F5069E">
        <w:rPr>
          <w:rFonts w:ascii="Garamond" w:hAnsi="Garamond" w:cs="Times New Roman"/>
        </w:rPr>
        <w:t>assess the role of each neuromodulatory projections in regulating visual responses and long-term plasticity in V1 neurons.</w:t>
      </w:r>
      <w:r w:rsidR="00F5069E">
        <w:rPr>
          <w:rFonts w:ascii="Garamond" w:hAnsi="Garamond" w:cs="Times New Roman"/>
        </w:rPr>
        <w:t xml:space="preserve"> </w:t>
      </w:r>
    </w:p>
    <w:p w14:paraId="7F945E2E" w14:textId="77777777" w:rsidR="00C63D18" w:rsidRDefault="00C63D18" w:rsidP="00D46F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rPr>
      </w:pPr>
    </w:p>
    <w:p w14:paraId="7658FCA3" w14:textId="5082E8D2" w:rsidR="00F5069E" w:rsidRDefault="005F615D" w:rsidP="00D46F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rPr>
      </w:pPr>
      <w:r w:rsidRPr="00F5069E">
        <w:rPr>
          <w:rFonts w:ascii="Garamond" w:hAnsi="Garamond" w:cs="Times New Roman"/>
          <w:color w:val="000000"/>
        </w:rPr>
        <w:t xml:space="preserve">The graduate student will work </w:t>
      </w:r>
      <w:r w:rsidR="00C63D18">
        <w:rPr>
          <w:rFonts w:ascii="Garamond" w:hAnsi="Garamond" w:cs="Times New Roman"/>
          <w:color w:val="000000"/>
        </w:rPr>
        <w:t xml:space="preserve">closely </w:t>
      </w:r>
      <w:r w:rsidRPr="00F5069E">
        <w:rPr>
          <w:rFonts w:ascii="Garamond" w:hAnsi="Garamond" w:cs="Times New Roman"/>
          <w:color w:val="000000"/>
        </w:rPr>
        <w:t xml:space="preserve">with </w:t>
      </w:r>
      <w:proofErr w:type="spellStart"/>
      <w:r w:rsidR="00892054">
        <w:rPr>
          <w:rFonts w:ascii="Garamond" w:hAnsi="Garamond" w:cs="Times New Roman"/>
          <w:color w:val="000000"/>
        </w:rPr>
        <w:t>Dr</w:t>
      </w:r>
      <w:proofErr w:type="spellEnd"/>
      <w:r w:rsidR="00892054">
        <w:rPr>
          <w:rFonts w:ascii="Garamond" w:hAnsi="Garamond" w:cs="Times New Roman"/>
          <w:color w:val="000000"/>
        </w:rPr>
        <w:t xml:space="preserve"> Sun </w:t>
      </w:r>
      <w:r w:rsidR="00C63D18">
        <w:rPr>
          <w:rFonts w:ascii="Garamond" w:hAnsi="Garamond" w:cs="Times New Roman"/>
          <w:color w:val="000000"/>
        </w:rPr>
        <w:t xml:space="preserve">and </w:t>
      </w:r>
      <w:r w:rsidRPr="00F5069E">
        <w:rPr>
          <w:rFonts w:ascii="Garamond" w:hAnsi="Garamond" w:cs="Times New Roman"/>
          <w:color w:val="000000"/>
        </w:rPr>
        <w:t xml:space="preserve">the </w:t>
      </w:r>
      <w:r w:rsidR="00C63D18">
        <w:rPr>
          <w:rFonts w:ascii="Garamond" w:hAnsi="Garamond" w:cs="Times New Roman"/>
          <w:color w:val="000000"/>
        </w:rPr>
        <w:t xml:space="preserve">senior research </w:t>
      </w:r>
      <w:r w:rsidRPr="00F5069E">
        <w:rPr>
          <w:rFonts w:ascii="Garamond" w:hAnsi="Garamond" w:cs="Times New Roman"/>
          <w:color w:val="000000"/>
        </w:rPr>
        <w:t xml:space="preserve">technician </w:t>
      </w:r>
      <w:r w:rsidR="00892054">
        <w:rPr>
          <w:rFonts w:ascii="Garamond" w:hAnsi="Garamond" w:cs="Times New Roman"/>
          <w:color w:val="000000"/>
        </w:rPr>
        <w:t xml:space="preserve">in the lab </w:t>
      </w:r>
      <w:r w:rsidRPr="00F5069E">
        <w:rPr>
          <w:rFonts w:ascii="Garamond" w:hAnsi="Garamond" w:cs="Times New Roman"/>
          <w:color w:val="000000"/>
        </w:rPr>
        <w:t xml:space="preserve">to </w:t>
      </w:r>
      <w:r w:rsidR="00C63D18">
        <w:rPr>
          <w:rFonts w:ascii="Garamond" w:hAnsi="Garamond" w:cs="Times New Roman"/>
          <w:color w:val="000000"/>
        </w:rPr>
        <w:t xml:space="preserve">develop </w:t>
      </w:r>
      <w:r w:rsidR="00C63D18" w:rsidRPr="00F5069E">
        <w:rPr>
          <w:rFonts w:ascii="Garamond" w:hAnsi="Garamond" w:cs="Times New Roman"/>
          <w:color w:val="000000"/>
        </w:rPr>
        <w:t>experimental approaches to</w:t>
      </w:r>
      <w:r w:rsidR="00C63D18">
        <w:rPr>
          <w:rFonts w:ascii="Garamond" w:hAnsi="Garamond" w:cs="Times New Roman"/>
          <w:color w:val="000000"/>
        </w:rPr>
        <w:t xml:space="preserve"> manipulate and</w:t>
      </w:r>
      <w:r w:rsidR="00C63D18" w:rsidRPr="00F5069E">
        <w:rPr>
          <w:rFonts w:ascii="Garamond" w:hAnsi="Garamond" w:cs="Times New Roman"/>
          <w:color w:val="000000"/>
        </w:rPr>
        <w:t xml:space="preserve"> measure </w:t>
      </w:r>
      <w:r w:rsidR="00C63D18">
        <w:rPr>
          <w:rFonts w:ascii="Garamond" w:hAnsi="Garamond" w:cs="Times New Roman"/>
          <w:color w:val="000000"/>
        </w:rPr>
        <w:t xml:space="preserve">neurophysiological properties in mouse </w:t>
      </w:r>
      <w:r w:rsidR="00C63D18" w:rsidRPr="00F5069E">
        <w:rPr>
          <w:rFonts w:ascii="Garamond" w:hAnsi="Garamond" w:cs="Times New Roman"/>
          <w:color w:val="000000"/>
        </w:rPr>
        <w:t>V1.</w:t>
      </w:r>
      <w:r w:rsidR="00C63D18">
        <w:rPr>
          <w:rFonts w:ascii="Garamond" w:hAnsi="Garamond" w:cs="Times New Roman"/>
          <w:color w:val="000000"/>
        </w:rPr>
        <w:t xml:space="preserve"> </w:t>
      </w:r>
      <w:r w:rsidR="00F71272">
        <w:rPr>
          <w:rFonts w:ascii="Garamond" w:hAnsi="Garamond" w:cs="Times New Roman"/>
          <w:color w:val="000000"/>
        </w:rPr>
        <w:t xml:space="preserve">The successful completion of this study will </w:t>
      </w:r>
      <w:r w:rsidR="00F71272" w:rsidRPr="00F5069E">
        <w:rPr>
          <w:rFonts w:ascii="Garamond" w:hAnsi="Garamond" w:cs="Times New Roman"/>
          <w:color w:val="000000"/>
        </w:rPr>
        <w:t>advance our understanding of how neuroplasticity is regulated by long-range neuromodulatory projections and provide insights in new directions for translational works.</w:t>
      </w:r>
    </w:p>
    <w:p w14:paraId="28073443" w14:textId="31DCFA4B" w:rsidR="00F5069E" w:rsidRDefault="00F71272" w:rsidP="00C63D18">
      <w:pPr>
        <w:pStyle w:val="NormalWeb"/>
        <w:rPr>
          <w:rFonts w:ascii="Garamond" w:hAnsi="Garamond"/>
          <w:color w:val="000000"/>
        </w:rPr>
      </w:pPr>
      <w:r w:rsidRPr="00A00D27">
        <w:rPr>
          <w:rFonts w:ascii="Garamond" w:hAnsi="Garamond"/>
          <w:b/>
          <w:bCs/>
        </w:rPr>
        <w:t>Requirements</w:t>
      </w:r>
      <w:r w:rsidRPr="00A00D27">
        <w:rPr>
          <w:rFonts w:ascii="Garamond" w:hAnsi="Garamond"/>
        </w:rPr>
        <w:t xml:space="preserve">: </w:t>
      </w:r>
      <w:r w:rsidR="00F5069E">
        <w:rPr>
          <w:rFonts w:ascii="Garamond" w:hAnsi="Garamond"/>
          <w:color w:val="000000"/>
        </w:rPr>
        <w:t xml:space="preserve">This 3-year PhD studentship in Visual Neuroscience is sponsored by </w:t>
      </w:r>
      <w:r>
        <w:rPr>
          <w:rFonts w:ascii="Garamond" w:hAnsi="Garamond"/>
          <w:color w:val="000000"/>
        </w:rPr>
        <w:t xml:space="preserve">UCL </w:t>
      </w:r>
      <w:r w:rsidR="005F615D">
        <w:rPr>
          <w:rFonts w:ascii="Garamond" w:hAnsi="Garamond"/>
          <w:color w:val="000000"/>
        </w:rPr>
        <w:t xml:space="preserve">and based at the </w:t>
      </w:r>
      <w:r>
        <w:rPr>
          <w:rFonts w:ascii="Garamond" w:hAnsi="Garamond"/>
          <w:color w:val="000000"/>
        </w:rPr>
        <w:t>Institute of Ophthalmology. T</w:t>
      </w:r>
      <w:r w:rsidR="00F5069E" w:rsidRPr="00F5069E">
        <w:rPr>
          <w:rFonts w:ascii="Garamond" w:hAnsi="Garamond"/>
          <w:color w:val="000000"/>
        </w:rPr>
        <w:t>he PhD student</w:t>
      </w:r>
      <w:r w:rsidR="005F615D">
        <w:rPr>
          <w:rFonts w:ascii="Garamond" w:hAnsi="Garamond"/>
          <w:color w:val="000000"/>
        </w:rPr>
        <w:t xml:space="preserve"> is expected start between Sep 2021 to</w:t>
      </w:r>
      <w:r w:rsidR="00F5069E" w:rsidRPr="00F5069E">
        <w:rPr>
          <w:rFonts w:ascii="Garamond" w:hAnsi="Garamond"/>
          <w:color w:val="000000"/>
        </w:rPr>
        <w:t xml:space="preserve"> </w:t>
      </w:r>
      <w:r w:rsidR="005F615D">
        <w:rPr>
          <w:rFonts w:ascii="Garamond" w:hAnsi="Garamond"/>
          <w:color w:val="000000"/>
        </w:rPr>
        <w:t xml:space="preserve">Jan 2022. </w:t>
      </w:r>
      <w:r w:rsidR="005F615D" w:rsidRPr="00F5069E">
        <w:rPr>
          <w:rFonts w:ascii="Garamond" w:hAnsi="Garamond"/>
          <w:color w:val="000000"/>
        </w:rPr>
        <w:t>Th</w:t>
      </w:r>
      <w:r w:rsidR="005F615D">
        <w:rPr>
          <w:rFonts w:ascii="Garamond" w:hAnsi="Garamond"/>
          <w:color w:val="000000"/>
        </w:rPr>
        <w:t xml:space="preserve">e student </w:t>
      </w:r>
      <w:r w:rsidR="005F615D" w:rsidRPr="00A00D27">
        <w:rPr>
          <w:rFonts w:ascii="Garamond" w:hAnsi="Garamond"/>
        </w:rPr>
        <w:t xml:space="preserve">is expected to have </w:t>
      </w:r>
      <w:r w:rsidR="005F615D">
        <w:rPr>
          <w:rFonts w:ascii="Garamond" w:hAnsi="Garamond"/>
        </w:rPr>
        <w:t xml:space="preserve">an MSc degree in Neuroscience, Biology, Physiology, Optics, Engineering, or related fields. Past experience in </w:t>
      </w:r>
      <w:r w:rsidR="005F615D" w:rsidRPr="00A00D27">
        <w:rPr>
          <w:rFonts w:ascii="Garamond" w:hAnsi="Garamond"/>
        </w:rPr>
        <w:t xml:space="preserve">Python / MATLAB and </w:t>
      </w:r>
      <w:r w:rsidR="005F615D">
        <w:rPr>
          <w:rFonts w:ascii="Garamond" w:hAnsi="Garamond"/>
        </w:rPr>
        <w:t>knowledge in systems neuroscience are desired</w:t>
      </w:r>
      <w:r w:rsidR="00C63D18">
        <w:rPr>
          <w:rFonts w:ascii="Garamond" w:hAnsi="Garamond"/>
        </w:rPr>
        <w:t>.</w:t>
      </w:r>
      <w:r w:rsidR="00F5069E" w:rsidRPr="00F5069E">
        <w:rPr>
          <w:rFonts w:ascii="Garamond" w:hAnsi="Garamond"/>
          <w:color w:val="000000"/>
        </w:rPr>
        <w:t xml:space="preserve"> </w:t>
      </w:r>
      <w:bookmarkStart w:id="0" w:name="_GoBack"/>
      <w:bookmarkEnd w:id="0"/>
    </w:p>
    <w:p w14:paraId="026A6624" w14:textId="09815399" w:rsidR="0067122D" w:rsidRDefault="0067122D" w:rsidP="0067122D">
      <w:pPr>
        <w:rPr>
          <w:rFonts w:ascii="Garamond" w:hAnsi="Garamond" w:cs="Times New Roman"/>
        </w:rPr>
      </w:pPr>
      <w:r w:rsidRPr="00A00D27">
        <w:rPr>
          <w:rFonts w:ascii="Garamond" w:hAnsi="Garamond" w:cs="Times New Roman"/>
          <w:b/>
          <w:bCs/>
        </w:rPr>
        <w:t>Reference</w:t>
      </w:r>
      <w:r w:rsidR="004F5B37" w:rsidRPr="00A00D27">
        <w:rPr>
          <w:rFonts w:ascii="Garamond" w:hAnsi="Garamond" w:cs="Times New Roman"/>
        </w:rPr>
        <w:t>:</w:t>
      </w:r>
    </w:p>
    <w:p w14:paraId="36BCBC13" w14:textId="739AA08D" w:rsidR="00C63D18" w:rsidRPr="00C63D18" w:rsidRDefault="00C63D18" w:rsidP="00C63D18">
      <w:pPr>
        <w:widowControl w:val="0"/>
        <w:autoSpaceDE w:val="0"/>
        <w:autoSpaceDN w:val="0"/>
        <w:adjustRightInd w:val="0"/>
        <w:ind w:left="640" w:hanging="640"/>
        <w:rPr>
          <w:rFonts w:ascii="Garamond" w:hAnsi="Garamond" w:cs="Times New Roman"/>
          <w:noProof/>
        </w:rPr>
      </w:pPr>
      <w:r>
        <w:rPr>
          <w:rFonts w:ascii="Garamond" w:hAnsi="Garamond" w:cs="Times New Roman"/>
        </w:rPr>
        <w:fldChar w:fldCharType="begin" w:fldLock="1"/>
      </w:r>
      <w:r>
        <w:rPr>
          <w:rFonts w:ascii="Garamond" w:hAnsi="Garamond" w:cs="Times New Roman"/>
        </w:rPr>
        <w:instrText xml:space="preserve">ADDIN Mendeley Bibliography CSL_BIBLIOGRAPHY </w:instrText>
      </w:r>
      <w:r>
        <w:rPr>
          <w:rFonts w:ascii="Garamond" w:hAnsi="Garamond" w:cs="Times New Roman"/>
        </w:rPr>
        <w:fldChar w:fldCharType="separate"/>
      </w:r>
      <w:r w:rsidRPr="00C63D18">
        <w:rPr>
          <w:rFonts w:ascii="Garamond" w:hAnsi="Garamond" w:cs="Times New Roman"/>
          <w:noProof/>
        </w:rPr>
        <w:t>1.</w:t>
      </w:r>
      <w:r w:rsidRPr="00C63D18">
        <w:rPr>
          <w:rFonts w:ascii="Garamond" w:hAnsi="Garamond" w:cs="Times New Roman"/>
          <w:noProof/>
        </w:rPr>
        <w:tab/>
        <w:t xml:space="preserve">Kaneko, M. &amp; Stryker, M. P. </w:t>
      </w:r>
      <w:r w:rsidRPr="00C63D18">
        <w:rPr>
          <w:rFonts w:ascii="Garamond" w:hAnsi="Garamond" w:cs="Times New Roman"/>
          <w:b/>
          <w:bCs/>
          <w:i/>
          <w:iCs/>
          <w:noProof/>
        </w:rPr>
        <w:t>Elife</w:t>
      </w:r>
      <w:r w:rsidRPr="00C63D18">
        <w:rPr>
          <w:rFonts w:ascii="Garamond" w:hAnsi="Garamond" w:cs="Times New Roman"/>
          <w:noProof/>
        </w:rPr>
        <w:t xml:space="preserve"> 3, 1–16 (2014).</w:t>
      </w:r>
    </w:p>
    <w:p w14:paraId="0187F8C0" w14:textId="77777777" w:rsidR="00C63D18" w:rsidRPr="00C63D18" w:rsidRDefault="00C63D18" w:rsidP="00C63D18">
      <w:pPr>
        <w:widowControl w:val="0"/>
        <w:autoSpaceDE w:val="0"/>
        <w:autoSpaceDN w:val="0"/>
        <w:adjustRightInd w:val="0"/>
        <w:ind w:left="640" w:hanging="640"/>
        <w:rPr>
          <w:rFonts w:ascii="Garamond" w:hAnsi="Garamond" w:cs="Times New Roman"/>
          <w:noProof/>
        </w:rPr>
      </w:pPr>
      <w:r w:rsidRPr="00C63D18">
        <w:rPr>
          <w:rFonts w:ascii="Garamond" w:hAnsi="Garamond" w:cs="Times New Roman"/>
          <w:noProof/>
        </w:rPr>
        <w:t>2.</w:t>
      </w:r>
      <w:r w:rsidRPr="00C63D18">
        <w:rPr>
          <w:rFonts w:ascii="Garamond" w:hAnsi="Garamond" w:cs="Times New Roman"/>
          <w:noProof/>
        </w:rPr>
        <w:tab/>
        <w:t xml:space="preserve">Kaneko, M., Fu, Y. &amp; Stryker, M. P. </w:t>
      </w:r>
      <w:r w:rsidRPr="00C63D18">
        <w:rPr>
          <w:rFonts w:ascii="Garamond" w:hAnsi="Garamond" w:cs="Times New Roman"/>
          <w:b/>
          <w:bCs/>
          <w:i/>
          <w:iCs/>
          <w:noProof/>
        </w:rPr>
        <w:t>J. Neurosci.</w:t>
      </w:r>
      <w:r w:rsidRPr="00C63D18">
        <w:rPr>
          <w:rFonts w:ascii="Garamond" w:hAnsi="Garamond" w:cs="Times New Roman"/>
          <w:noProof/>
        </w:rPr>
        <w:t xml:space="preserve"> 37, 3760–16 (2017).</w:t>
      </w:r>
    </w:p>
    <w:p w14:paraId="585E9B0A" w14:textId="77777777" w:rsidR="00C63D18" w:rsidRPr="00C63D18" w:rsidRDefault="00C63D18" w:rsidP="00C63D18">
      <w:pPr>
        <w:widowControl w:val="0"/>
        <w:autoSpaceDE w:val="0"/>
        <w:autoSpaceDN w:val="0"/>
        <w:adjustRightInd w:val="0"/>
        <w:ind w:left="640" w:hanging="640"/>
        <w:rPr>
          <w:rFonts w:ascii="Garamond" w:hAnsi="Garamond" w:cs="Times New Roman"/>
          <w:noProof/>
        </w:rPr>
      </w:pPr>
      <w:r w:rsidRPr="00C63D18">
        <w:rPr>
          <w:rFonts w:ascii="Garamond" w:hAnsi="Garamond" w:cs="Times New Roman"/>
          <w:noProof/>
        </w:rPr>
        <w:t>3.</w:t>
      </w:r>
      <w:r w:rsidRPr="00C63D18">
        <w:rPr>
          <w:rFonts w:ascii="Garamond" w:hAnsi="Garamond" w:cs="Times New Roman"/>
          <w:noProof/>
        </w:rPr>
        <w:tab/>
        <w:t xml:space="preserve">Lunghi, C. &amp; Sale, A. </w:t>
      </w:r>
      <w:r w:rsidRPr="00C63D18">
        <w:rPr>
          <w:rFonts w:ascii="Garamond" w:hAnsi="Garamond" w:cs="Times New Roman"/>
          <w:b/>
          <w:bCs/>
          <w:i/>
          <w:iCs/>
          <w:noProof/>
        </w:rPr>
        <w:t>Curr. Biol.</w:t>
      </w:r>
      <w:r w:rsidRPr="00C63D18">
        <w:rPr>
          <w:rFonts w:ascii="Garamond" w:hAnsi="Garamond" w:cs="Times New Roman"/>
          <w:noProof/>
        </w:rPr>
        <w:t xml:space="preserve"> 25, R1122–R1123 (2015).</w:t>
      </w:r>
    </w:p>
    <w:p w14:paraId="406EBECD" w14:textId="77777777" w:rsidR="00C63D18" w:rsidRPr="00C63D18" w:rsidRDefault="00C63D18" w:rsidP="00C63D18">
      <w:pPr>
        <w:widowControl w:val="0"/>
        <w:autoSpaceDE w:val="0"/>
        <w:autoSpaceDN w:val="0"/>
        <w:adjustRightInd w:val="0"/>
        <w:ind w:left="640" w:hanging="640"/>
        <w:rPr>
          <w:rFonts w:ascii="Garamond" w:hAnsi="Garamond"/>
          <w:noProof/>
        </w:rPr>
      </w:pPr>
      <w:r w:rsidRPr="00C63D18">
        <w:rPr>
          <w:rFonts w:ascii="Garamond" w:hAnsi="Garamond" w:cs="Times New Roman"/>
          <w:noProof/>
        </w:rPr>
        <w:t>4.</w:t>
      </w:r>
      <w:r w:rsidRPr="00C63D18">
        <w:rPr>
          <w:rFonts w:ascii="Garamond" w:hAnsi="Garamond" w:cs="Times New Roman"/>
          <w:noProof/>
        </w:rPr>
        <w:tab/>
        <w:t xml:space="preserve">Perini, R., Bortoletto, M., Capogrosso, M., Fertonani, A. &amp; Miniussi, C. </w:t>
      </w:r>
      <w:r w:rsidRPr="00C63D18">
        <w:rPr>
          <w:rFonts w:ascii="Garamond" w:hAnsi="Garamond" w:cs="Times New Roman"/>
          <w:b/>
          <w:bCs/>
          <w:i/>
          <w:iCs/>
          <w:noProof/>
        </w:rPr>
        <w:t>Sci. Rep.</w:t>
      </w:r>
      <w:r w:rsidRPr="00C63D18">
        <w:rPr>
          <w:rFonts w:ascii="Garamond" w:hAnsi="Garamond" w:cs="Times New Roman"/>
          <w:noProof/>
        </w:rPr>
        <w:t xml:space="preserve"> 6, 25440 (2016).</w:t>
      </w:r>
    </w:p>
    <w:p w14:paraId="7F9DF2B9" w14:textId="77C16949" w:rsidR="00C63D18" w:rsidRPr="00A00D27" w:rsidRDefault="00C63D18" w:rsidP="0067122D">
      <w:pPr>
        <w:rPr>
          <w:rFonts w:ascii="Garamond" w:hAnsi="Garamond" w:cs="Times New Roman"/>
        </w:rPr>
      </w:pPr>
      <w:r>
        <w:rPr>
          <w:rFonts w:ascii="Garamond" w:hAnsi="Garamond" w:cs="Times New Roman"/>
        </w:rPr>
        <w:fldChar w:fldCharType="end"/>
      </w:r>
    </w:p>
    <w:sectPr w:rsidR="00C63D18" w:rsidRPr="00A00D27" w:rsidSect="000C5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37"/>
    <w:rsid w:val="0003168E"/>
    <w:rsid w:val="000C5B1B"/>
    <w:rsid w:val="0031619C"/>
    <w:rsid w:val="0044592D"/>
    <w:rsid w:val="004D564F"/>
    <w:rsid w:val="004F5B37"/>
    <w:rsid w:val="005F209F"/>
    <w:rsid w:val="005F615D"/>
    <w:rsid w:val="00625BA8"/>
    <w:rsid w:val="0067122D"/>
    <w:rsid w:val="00874036"/>
    <w:rsid w:val="00892054"/>
    <w:rsid w:val="00996AA0"/>
    <w:rsid w:val="009A5E81"/>
    <w:rsid w:val="00A00D27"/>
    <w:rsid w:val="00AB1A86"/>
    <w:rsid w:val="00C63D18"/>
    <w:rsid w:val="00D46FBF"/>
    <w:rsid w:val="00F5069E"/>
    <w:rsid w:val="00F71272"/>
    <w:rsid w:val="00FB6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C8EE"/>
  <w15:chartTrackingRefBased/>
  <w15:docId w15:val="{3317B3D3-2404-4347-AD0C-C928BDF6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5B3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25B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5BA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001556">
      <w:bodyDiv w:val="1"/>
      <w:marLeft w:val="0"/>
      <w:marRight w:val="0"/>
      <w:marTop w:val="0"/>
      <w:marBottom w:val="0"/>
      <w:divBdr>
        <w:top w:val="none" w:sz="0" w:space="0" w:color="auto"/>
        <w:left w:val="none" w:sz="0" w:space="0" w:color="auto"/>
        <w:bottom w:val="none" w:sz="0" w:space="0" w:color="auto"/>
        <w:right w:val="none" w:sz="0" w:space="0" w:color="auto"/>
      </w:divBdr>
    </w:div>
    <w:div w:id="908198619">
      <w:bodyDiv w:val="1"/>
      <w:marLeft w:val="0"/>
      <w:marRight w:val="0"/>
      <w:marTop w:val="0"/>
      <w:marBottom w:val="0"/>
      <w:divBdr>
        <w:top w:val="none" w:sz="0" w:space="0" w:color="auto"/>
        <w:left w:val="none" w:sz="0" w:space="0" w:color="auto"/>
        <w:bottom w:val="none" w:sz="0" w:space="0" w:color="auto"/>
        <w:right w:val="none" w:sz="0" w:space="0" w:color="auto"/>
      </w:divBdr>
      <w:divsChild>
        <w:div w:id="1583175791">
          <w:marLeft w:val="0"/>
          <w:marRight w:val="0"/>
          <w:marTop w:val="0"/>
          <w:marBottom w:val="0"/>
          <w:divBdr>
            <w:top w:val="none" w:sz="0" w:space="0" w:color="auto"/>
            <w:left w:val="none" w:sz="0" w:space="0" w:color="auto"/>
            <w:bottom w:val="none" w:sz="0" w:space="0" w:color="auto"/>
            <w:right w:val="none" w:sz="0" w:space="0" w:color="auto"/>
          </w:divBdr>
          <w:divsChild>
            <w:div w:id="1656640830">
              <w:marLeft w:val="0"/>
              <w:marRight w:val="0"/>
              <w:marTop w:val="0"/>
              <w:marBottom w:val="0"/>
              <w:divBdr>
                <w:top w:val="none" w:sz="0" w:space="0" w:color="auto"/>
                <w:left w:val="none" w:sz="0" w:space="0" w:color="auto"/>
                <w:bottom w:val="none" w:sz="0" w:space="0" w:color="auto"/>
                <w:right w:val="none" w:sz="0" w:space="0" w:color="auto"/>
              </w:divBdr>
              <w:divsChild>
                <w:div w:id="8732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73445">
      <w:bodyDiv w:val="1"/>
      <w:marLeft w:val="0"/>
      <w:marRight w:val="0"/>
      <w:marTop w:val="0"/>
      <w:marBottom w:val="0"/>
      <w:divBdr>
        <w:top w:val="none" w:sz="0" w:space="0" w:color="auto"/>
        <w:left w:val="none" w:sz="0" w:space="0" w:color="auto"/>
        <w:bottom w:val="none" w:sz="0" w:space="0" w:color="auto"/>
        <w:right w:val="none" w:sz="0" w:space="0" w:color="auto"/>
      </w:divBdr>
      <w:divsChild>
        <w:div w:id="513375596">
          <w:marLeft w:val="0"/>
          <w:marRight w:val="0"/>
          <w:marTop w:val="0"/>
          <w:marBottom w:val="0"/>
          <w:divBdr>
            <w:top w:val="none" w:sz="0" w:space="0" w:color="auto"/>
            <w:left w:val="none" w:sz="0" w:space="0" w:color="auto"/>
            <w:bottom w:val="none" w:sz="0" w:space="0" w:color="auto"/>
            <w:right w:val="none" w:sz="0" w:space="0" w:color="auto"/>
          </w:divBdr>
          <w:divsChild>
            <w:div w:id="1186673108">
              <w:marLeft w:val="0"/>
              <w:marRight w:val="0"/>
              <w:marTop w:val="0"/>
              <w:marBottom w:val="0"/>
              <w:divBdr>
                <w:top w:val="none" w:sz="0" w:space="0" w:color="auto"/>
                <w:left w:val="none" w:sz="0" w:space="0" w:color="auto"/>
                <w:bottom w:val="none" w:sz="0" w:space="0" w:color="auto"/>
                <w:right w:val="none" w:sz="0" w:space="0" w:color="auto"/>
              </w:divBdr>
              <w:divsChild>
                <w:div w:id="20039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3755">
      <w:bodyDiv w:val="1"/>
      <w:marLeft w:val="0"/>
      <w:marRight w:val="0"/>
      <w:marTop w:val="0"/>
      <w:marBottom w:val="0"/>
      <w:divBdr>
        <w:top w:val="none" w:sz="0" w:space="0" w:color="auto"/>
        <w:left w:val="none" w:sz="0" w:space="0" w:color="auto"/>
        <w:bottom w:val="none" w:sz="0" w:space="0" w:color="auto"/>
        <w:right w:val="none" w:sz="0" w:space="0" w:color="auto"/>
      </w:divBdr>
    </w:div>
    <w:div w:id="1600796122">
      <w:bodyDiv w:val="1"/>
      <w:marLeft w:val="0"/>
      <w:marRight w:val="0"/>
      <w:marTop w:val="0"/>
      <w:marBottom w:val="0"/>
      <w:divBdr>
        <w:top w:val="none" w:sz="0" w:space="0" w:color="auto"/>
        <w:left w:val="none" w:sz="0" w:space="0" w:color="auto"/>
        <w:bottom w:val="none" w:sz="0" w:space="0" w:color="auto"/>
        <w:right w:val="none" w:sz="0" w:space="0" w:color="auto"/>
      </w:divBdr>
    </w:div>
    <w:div w:id="1775125642">
      <w:bodyDiv w:val="1"/>
      <w:marLeft w:val="0"/>
      <w:marRight w:val="0"/>
      <w:marTop w:val="0"/>
      <w:marBottom w:val="0"/>
      <w:divBdr>
        <w:top w:val="none" w:sz="0" w:space="0" w:color="auto"/>
        <w:left w:val="none" w:sz="0" w:space="0" w:color="auto"/>
        <w:bottom w:val="none" w:sz="0" w:space="0" w:color="auto"/>
        <w:right w:val="none" w:sz="0" w:space="0" w:color="auto"/>
      </w:divBdr>
    </w:div>
    <w:div w:id="1854956839">
      <w:bodyDiv w:val="1"/>
      <w:marLeft w:val="0"/>
      <w:marRight w:val="0"/>
      <w:marTop w:val="0"/>
      <w:marBottom w:val="0"/>
      <w:divBdr>
        <w:top w:val="none" w:sz="0" w:space="0" w:color="auto"/>
        <w:left w:val="none" w:sz="0" w:space="0" w:color="auto"/>
        <w:bottom w:val="none" w:sz="0" w:space="0" w:color="auto"/>
        <w:right w:val="none" w:sz="0" w:space="0" w:color="auto"/>
      </w:divBdr>
      <w:divsChild>
        <w:div w:id="788167568">
          <w:marLeft w:val="0"/>
          <w:marRight w:val="0"/>
          <w:marTop w:val="0"/>
          <w:marBottom w:val="0"/>
          <w:divBdr>
            <w:top w:val="none" w:sz="0" w:space="0" w:color="auto"/>
            <w:left w:val="none" w:sz="0" w:space="0" w:color="auto"/>
            <w:bottom w:val="none" w:sz="0" w:space="0" w:color="auto"/>
            <w:right w:val="none" w:sz="0" w:space="0" w:color="auto"/>
          </w:divBdr>
          <w:divsChild>
            <w:div w:id="1005668215">
              <w:marLeft w:val="0"/>
              <w:marRight w:val="0"/>
              <w:marTop w:val="0"/>
              <w:marBottom w:val="0"/>
              <w:divBdr>
                <w:top w:val="none" w:sz="0" w:space="0" w:color="auto"/>
                <w:left w:val="none" w:sz="0" w:space="0" w:color="auto"/>
                <w:bottom w:val="none" w:sz="0" w:space="0" w:color="auto"/>
                <w:right w:val="none" w:sz="0" w:space="0" w:color="auto"/>
              </w:divBdr>
              <w:divsChild>
                <w:div w:id="20540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3E4F2-1B73-49B7-A838-6459311B4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Yujiao</dc:creator>
  <cp:keywords/>
  <dc:description/>
  <cp:lastModifiedBy>Windows User</cp:lastModifiedBy>
  <cp:revision>4</cp:revision>
  <cp:lastPrinted>2020-07-08T01:50:00Z</cp:lastPrinted>
  <dcterms:created xsi:type="dcterms:W3CDTF">2021-03-16T17:44:00Z</dcterms:created>
  <dcterms:modified xsi:type="dcterms:W3CDTF">2021-03-16T18:22:00Z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http://www.zotero.org/styles/nature</vt:lpwstr>
  </property>
  <property fmtid="{D5CDD505-2E9C-101B-9397-08002B2CF9AE}" pid="13" name="Mendeley Recent Style Name 5_1">
    <vt:lpwstr>Nature</vt:lpwstr>
  </property>
  <property fmtid="{D5CDD505-2E9C-101B-9397-08002B2CF9AE}" pid="14" name="Mendeley Recent Style Id 6_1">
    <vt:lpwstr>https://csl.mendeley.com/styles/9688601/authordate-only</vt:lpwstr>
  </property>
  <property fmtid="{D5CDD505-2E9C-101B-9397-08002B2CF9AE}" pid="15" name="Mendeley Recent Style Name 6_1">
    <vt:lpwstr>Nature - Jennifer Sun</vt:lpwstr>
  </property>
  <property fmtid="{D5CDD505-2E9C-101B-9397-08002B2CF9AE}" pid="16" name="Mendeley Recent Style Id 7_1">
    <vt:lpwstr>http://www.zotero.org/styles/nature-neuroscience</vt:lpwstr>
  </property>
  <property fmtid="{D5CDD505-2E9C-101B-9397-08002B2CF9AE}" pid="17" name="Mendeley Recent Style Name 7_1">
    <vt:lpwstr>Nature Neuroscience</vt:lpwstr>
  </property>
  <property fmtid="{D5CDD505-2E9C-101B-9397-08002B2CF9AE}" pid="18" name="Mendeley Recent Style Id 8_1">
    <vt:lpwstr>http://www.zotero.org/styles/pnas</vt:lpwstr>
  </property>
  <property fmtid="{D5CDD505-2E9C-101B-9397-08002B2CF9AE}" pid="19" name="Mendeley Recent Style Name 8_1">
    <vt:lpwstr>Proceedings of the National Academy of Sciences of the United States of America</vt:lpwstr>
  </property>
  <property fmtid="{D5CDD505-2E9C-101B-9397-08002B2CF9AE}" pid="20" name="Mendeley Recent Style Id 9_1">
    <vt:lpwstr>http://www.zotero.org/styles/the-journal-of-neuroscience</vt:lpwstr>
  </property>
  <property fmtid="{D5CDD505-2E9C-101B-9397-08002B2CF9AE}" pid="21" name="Mendeley Recent Style Name 9_1">
    <vt:lpwstr>The Journal of Neuroscience</vt:lpwstr>
  </property>
  <property fmtid="{D5CDD505-2E9C-101B-9397-08002B2CF9AE}" pid="22" name="Mendeley Document_1">
    <vt:lpwstr>True</vt:lpwstr>
  </property>
  <property fmtid="{D5CDD505-2E9C-101B-9397-08002B2CF9AE}" pid="23" name="Mendeley Unique User Id_1">
    <vt:lpwstr>3b0923fb-c90b-3a6f-8dc2-c54e917e8132</vt:lpwstr>
  </property>
  <property fmtid="{D5CDD505-2E9C-101B-9397-08002B2CF9AE}" pid="24" name="Mendeley Citation Style_1">
    <vt:lpwstr>https://csl.mendeley.com/styles/9688601/authordate-only</vt:lpwstr>
  </property>
</Properties>
</file>